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w:t>
      </w:r>
      <w:r w:rsidRPr="00000000" w:rsidR="00000000" w:rsidDel="00000000">
        <w:rPr>
          <w:rtl w:val="0"/>
        </w:rPr>
        <w:t xml:space="preserve">Title of the use case</w:t>
      </w:r>
    </w:p>
    <w:tbl>
      <w:tblPr>
        <w:tblStyle w:val="Table1"/>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Shellac Discs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Robert Luckfiel / DNB</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3)</w:t>
      </w:r>
      <w:r w:rsidRPr="00000000" w:rsidR="00000000" w:rsidDel="00000000">
        <w:rPr>
          <w:rtl w:val="0"/>
        </w:rPr>
        <w:t xml:space="preserve">Provide a general description of your use case(s). you can also add to your use case images, diagrams if needed. </w:t>
      </w:r>
    </w:p>
    <w:p w:rsidP="00000000" w:rsidRPr="00000000" w:rsidR="00000000" w:rsidDel="00000000" w:rsidRDefault="00000000">
      <w:pPr>
        <w:contextualSpacing w:val="0"/>
      </w:pPr>
      <w:r w:rsidRPr="00000000" w:rsidR="00000000" w:rsidDel="00000000">
        <w:rPr>
          <w:rtl w:val="0"/>
        </w:rPr>
        <w:t xml:space="preserve"> </w:t>
      </w:r>
    </w:p>
    <w:tbl>
      <w:tblPr>
        <w:tblStyle w:val="Table3"/>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DNB - depending on the rights and licencing situation - wants to bring the metadata of 1,000 digitised shellac discs into Europeana (= 2.000 records, one per side).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soundfiles will be presented on the DNB website within a special player. Download is an upcoming option.</w:t>
            </w:r>
          </w:p>
          <w:p w:rsidP="00000000" w:rsidRPr="00000000" w:rsidR="00000000" w:rsidDel="00000000" w:rsidRDefault="00000000">
            <w:pPr>
              <w:spacing w:lineRule="auto" w:line="240"/>
              <w:contextualSpacing w:val="0"/>
            </w:pPr>
            <w:r w:rsidRPr="00000000" w:rsidR="00000000" w:rsidDel="00000000">
              <w:rPr>
                <w:rtl w:val="0"/>
              </w:rPr>
              <w:t xml:space="preserve">The shellac discs were digitized in 2009 and saved in Broadcast Wave-Format (.wav), one file per side. There is only one digital version (master file) of each side. MP3 is generated on the fly, but not saved, so not available for further use.</w:t>
            </w:r>
          </w:p>
          <w:p w:rsidP="00000000" w:rsidRPr="00000000" w:rsidR="00000000" w:rsidDel="00000000" w:rsidRDefault="00000000">
            <w:pPr>
              <w:spacing w:lineRule="auto" w:line="240"/>
              <w:contextualSpacing w:val="0"/>
            </w:pPr>
            <w:r w:rsidRPr="00000000" w:rsidR="00000000" w:rsidDel="00000000">
              <w:rPr>
                <w:rtl w:val="0"/>
              </w:rPr>
              <w:t xml:space="preserve">A scan of the label of each side is also available.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Each side of a shellac disc has one metadata record and so has it's digital version. The records are linked: </w:t>
            </w:r>
          </w:p>
          <w:p w:rsidP="00000000" w:rsidRPr="00000000" w:rsidR="00000000" w:rsidDel="00000000" w:rsidRDefault="00000000">
            <w:pPr>
              <w:spacing w:lineRule="auto" w:line="240"/>
              <w:contextualSpacing w:val="0"/>
            </w:pPr>
            <w:r w:rsidRPr="00000000" w:rsidR="00000000" w:rsidDel="00000000">
              <w:rPr>
                <w:rtl w:val="0"/>
              </w:rPr>
              <w:t xml:space="preserve">Analogue side A is linked to analogue B </w:t>
            </w:r>
          </w:p>
          <w:p w:rsidP="00000000" w:rsidRPr="00000000" w:rsidR="00000000" w:rsidDel="00000000" w:rsidRDefault="00000000">
            <w:pPr>
              <w:spacing w:lineRule="auto" w:line="240"/>
              <w:contextualSpacing w:val="0"/>
            </w:pPr>
            <w:r w:rsidRPr="00000000" w:rsidR="00000000" w:rsidDel="00000000">
              <w:rPr>
                <w:rtl w:val="0"/>
              </w:rPr>
              <w:t xml:space="preserve">and analogue side A is linked to digital side 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Analogue Side B is linked to analogue A </w:t>
            </w:r>
          </w:p>
          <w:p w:rsidP="00000000" w:rsidRPr="00000000" w:rsidR="00000000" w:rsidDel="00000000" w:rsidRDefault="00000000">
            <w:pPr>
              <w:spacing w:lineRule="auto" w:line="240"/>
              <w:contextualSpacing w:val="0"/>
            </w:pPr>
            <w:r w:rsidRPr="00000000" w:rsidR="00000000" w:rsidDel="00000000">
              <w:rPr>
                <w:rtl w:val="0"/>
              </w:rPr>
              <w:t xml:space="preserve">and analogue side B is linked to digital side B</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records have no hierarchy, all recordings are on the same bibliographic level.</w:t>
            </w:r>
          </w:p>
          <w:p w:rsidP="00000000" w:rsidRPr="00000000" w:rsidR="00000000" w:rsidDel="00000000" w:rsidRDefault="00000000">
            <w:pPr>
              <w:spacing w:lineRule="auto" w:line="240"/>
              <w:contextualSpacing w:val="0"/>
            </w:pPr>
            <w:r w:rsidRPr="00000000" w:rsidR="00000000" w:rsidDel="00000000">
              <w:rPr>
                <w:rtl w:val="0"/>
              </w:rPr>
              <w:t xml:space="preserve">There is only a link to a record that describes the collection of shellac discs digitised in the project in 2009.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DNB_shellac_sample.xml</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MARC-XML</w:t>
            </w:r>
          </w:p>
          <w:p w:rsidP="00000000" w:rsidRPr="00000000" w:rsidR="00000000" w:rsidDel="00000000" w:rsidRDefault="00000000">
            <w:pPr>
              <w:spacing w:lineRule="auto" w:line="240"/>
              <w:contextualSpacing w:val="0"/>
            </w:pPr>
            <w:r w:rsidRPr="00000000" w:rsidR="00000000" w:rsidDel="00000000">
              <w:rPr>
                <w:rtl w:val="0"/>
              </w:rPr>
              <w:t xml:space="preserve">also available: Dublin Core, RDF, PICA3, PICA+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EDM will be available via DDB (Deutsche Digitale Bibliothek / German Digital Library) in the near future.</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The MARC-XML-format exports the relevant information about this shellac-disc from the DNB-catalogue.</w:t>
            </w:r>
          </w:p>
          <w:p w:rsidP="00000000" w:rsidRPr="00000000" w:rsidR="00000000" w:rsidDel="00000000" w:rsidRDefault="00000000">
            <w:pPr>
              <w:contextualSpacing w:val="0"/>
            </w:pPr>
            <w:r w:rsidRPr="00000000" w:rsidR="00000000" w:rsidDel="00000000">
              <w:rPr>
                <w:rtl w:val="0"/>
              </w:rPr>
              <w:t xml:space="preserve">There is no standard information about the media type (shellac disc), only a German freetext in MARC 300 $a</w:t>
            </w:r>
          </w:p>
          <w:p w:rsidP="00000000" w:rsidRPr="00000000" w:rsidR="00000000" w:rsidDel="00000000" w:rsidRDefault="00000000">
            <w:pPr>
              <w:spacing w:lineRule="auto" w:line="240"/>
              <w:contextualSpacing w:val="0"/>
            </w:pPr>
            <w:r w:rsidRPr="00000000" w:rsidR="00000000" w:rsidDel="00000000">
              <w:rPr>
                <w:rtl w:val="0"/>
              </w:rPr>
              <w:t xml:space="preserve">References to other DNB-records like use the DNB-ID like in MARC 775 $w: "(DE-101)1049428226"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List of metadata elements:</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Label, Labelcode, Order No.</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Stamper ID (Matrizennummer)</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DNB ID</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Country of origin</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Title</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Composer</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Publisher of the disc</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Year of publication (if provided, misses in the XML sample)</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Publisher of the digital file</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Year of digitization</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Description of media (in German)</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Artist</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Persistent Identifier (URN misses in XML sample as the digital file is not presented for users yet)</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ID of DNB record for the other side of the analogue disc</w:t>
            </w:r>
          </w:p>
          <w:p w:rsidP="00000000" w:rsidRPr="00000000" w:rsidR="00000000" w:rsidDel="00000000" w:rsidRDefault="00000000">
            <w:pPr>
              <w:numPr>
                <w:ilvl w:val="0"/>
                <w:numId w:val="1"/>
              </w:numPr>
              <w:spacing w:lineRule="auto" w:after="0" w:before="0"/>
              <w:ind w:left="720" w:hanging="358"/>
              <w:contextualSpacing w:val="1"/>
              <w:rPr/>
            </w:pPr>
            <w:r w:rsidRPr="00000000" w:rsidR="00000000" w:rsidDel="00000000">
              <w:rPr>
                <w:rtl w:val="0"/>
              </w:rPr>
              <w:t xml:space="preserve">ID of DNB record for the analogue disc</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6">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60.0" w:type="dxa"/>
        <w:jc w:val="left"/>
        <w:tblInd w:w="10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7"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1"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2"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header1.xml" Type="http://schemas.openxmlformats.org/officeDocument/2006/relationships/header"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use_case_DNB_shellac.docx</dc:title>
</cp:coreProperties>
</file>